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65" w:rsidRPr="001D5265" w:rsidRDefault="001D5265" w:rsidP="001D5265">
      <w:pPr>
        <w:pStyle w:val="a8"/>
        <w:spacing w:before="120" w:after="120"/>
        <w:rPr>
          <w:rFonts w:ascii="Times New Roman" w:hAnsi="Times New Roman"/>
          <w:color w:val="000000" w:themeColor="text1"/>
          <w:sz w:val="28"/>
        </w:rPr>
      </w:pPr>
      <w:bookmarkStart w:id="0" w:name="_Toc419818869"/>
      <w:r w:rsidRPr="001D5265">
        <w:rPr>
          <w:rFonts w:ascii="Times New Roman" w:hAnsi="Times New Roman"/>
          <w:color w:val="000000" w:themeColor="text1"/>
          <w:sz w:val="28"/>
        </w:rPr>
        <w:t>Правила заполнения бланков ответов участников ОГЭ</w:t>
      </w:r>
      <w:bookmarkEnd w:id="0"/>
    </w:p>
    <w:p w:rsidR="001D5265" w:rsidRDefault="001D5265" w:rsidP="001D5265">
      <w:pPr>
        <w:ind w:firstLine="624"/>
        <w:jc w:val="both"/>
        <w:rPr>
          <w:sz w:val="28"/>
          <w:szCs w:val="28"/>
          <w:lang w:eastAsia="en-US"/>
        </w:rPr>
      </w:pPr>
      <w:r>
        <w:rPr>
          <w:sz w:val="28"/>
          <w:szCs w:val="28"/>
          <w:lang w:eastAsia="en-US"/>
        </w:rPr>
        <w:t>Структура бланков ответов № 1 едина для всех предметов</w:t>
      </w:r>
      <w:r>
        <w:rPr>
          <w:rFonts w:eastAsia="Calibri"/>
          <w:sz w:val="28"/>
          <w:szCs w:val="28"/>
          <w:lang w:eastAsia="en-US"/>
        </w:rPr>
        <w:t xml:space="preserve"> ОГЭ</w:t>
      </w:r>
      <w:r>
        <w:rPr>
          <w:sz w:val="28"/>
          <w:szCs w:val="28"/>
          <w:lang w:eastAsia="en-US"/>
        </w:rPr>
        <w:t>.</w:t>
      </w:r>
    </w:p>
    <w:p w:rsidR="001D5265" w:rsidRDefault="001D5265" w:rsidP="001D5265">
      <w:pPr>
        <w:autoSpaceDE w:val="0"/>
        <w:autoSpaceDN w:val="0"/>
        <w:adjustRightInd w:val="0"/>
        <w:ind w:firstLine="624"/>
        <w:jc w:val="both"/>
        <w:rPr>
          <w:rFonts w:eastAsia="Calibri"/>
          <w:sz w:val="28"/>
          <w:szCs w:val="28"/>
          <w:lang w:eastAsia="en-US"/>
        </w:rPr>
      </w:pPr>
      <w:r>
        <w:rPr>
          <w:rFonts w:eastAsia="Calibri"/>
          <w:sz w:val="28"/>
          <w:szCs w:val="28"/>
          <w:lang w:eastAsia="en-US"/>
        </w:rPr>
        <w:t xml:space="preserve">Информация, внесенная в бланки, сканируется и обрабатывается с использованием специальных аппаратно-программных средств, поэтому при заполнении бланков необходимо соблюдать настоящие правила. </w:t>
      </w:r>
    </w:p>
    <w:p w:rsidR="001D5265" w:rsidRDefault="001D5265" w:rsidP="001D5265">
      <w:pPr>
        <w:ind w:firstLine="624"/>
        <w:jc w:val="both"/>
        <w:rPr>
          <w:sz w:val="28"/>
          <w:szCs w:val="28"/>
          <w:lang w:eastAsia="en-US"/>
        </w:rPr>
      </w:pPr>
      <w:r>
        <w:rPr>
          <w:sz w:val="28"/>
          <w:szCs w:val="28"/>
          <w:lang w:eastAsia="en-US"/>
        </w:rPr>
        <w:t xml:space="preserve">Символ метки («крестик») в </w:t>
      </w:r>
      <w:r>
        <w:rPr>
          <w:rFonts w:eastAsia="Calibri"/>
          <w:sz w:val="28"/>
          <w:szCs w:val="28"/>
          <w:lang w:eastAsia="en-US"/>
        </w:rPr>
        <w:t xml:space="preserve">верхней (регистрационной) части бланка № 1 </w:t>
      </w:r>
      <w:r>
        <w:rPr>
          <w:sz w:val="28"/>
          <w:szCs w:val="28"/>
          <w:lang w:eastAsia="en-US"/>
        </w:rPr>
        <w:t>не должен быть слишком толстым (для указания пола участника ОГЭ). Если ручка оставляет слишком то</w:t>
      </w:r>
      <w:bookmarkStart w:id="1" w:name="_GoBack"/>
      <w:bookmarkEnd w:id="1"/>
      <w:r>
        <w:rPr>
          <w:sz w:val="28"/>
          <w:szCs w:val="28"/>
          <w:lang w:eastAsia="en-US"/>
        </w:rPr>
        <w:t xml:space="preserve">лстую линию, то вместо крестика в поле нужно провести только одну диагональ квадрата (любую). </w:t>
      </w:r>
    </w:p>
    <w:p w:rsidR="001D5265" w:rsidRDefault="001D5265" w:rsidP="001D5265">
      <w:pPr>
        <w:ind w:firstLine="624"/>
        <w:jc w:val="both"/>
        <w:rPr>
          <w:sz w:val="28"/>
          <w:szCs w:val="28"/>
          <w:lang w:eastAsia="en-US"/>
        </w:rPr>
      </w:pPr>
      <w:r>
        <w:rPr>
          <w:sz w:val="28"/>
          <w:szCs w:val="28"/>
          <w:lang w:eastAsia="en-US"/>
        </w:rPr>
        <w:t xml:space="preserve">Во всех заполняемых полях бланков, каждую цифру и букву необходимо изображать, тщательно копируя образец ее написания из строки с образцами написания символов (см. верхнюю часть бланка ответов № 1). </w:t>
      </w:r>
    </w:p>
    <w:p w:rsidR="001D5265" w:rsidRDefault="001D5265" w:rsidP="001D5265">
      <w:pPr>
        <w:ind w:firstLine="624"/>
        <w:jc w:val="both"/>
        <w:rPr>
          <w:sz w:val="28"/>
          <w:szCs w:val="28"/>
          <w:lang w:eastAsia="en-US"/>
        </w:rPr>
      </w:pPr>
      <w:r>
        <w:rPr>
          <w:sz w:val="28"/>
          <w:szCs w:val="28"/>
          <w:lang w:eastAsia="en-US"/>
        </w:rPr>
        <w:t>Небрежное написание символов может привести к тому, что при автоматизированной обработке символ может быть распознан неправильно.</w:t>
      </w:r>
    </w:p>
    <w:p w:rsidR="001D5265" w:rsidRDefault="001D5265" w:rsidP="001D5265">
      <w:pPr>
        <w:pStyle w:val="Default"/>
        <w:ind w:firstLine="624"/>
        <w:jc w:val="both"/>
        <w:rPr>
          <w:color w:val="auto"/>
          <w:sz w:val="28"/>
          <w:szCs w:val="28"/>
        </w:rPr>
      </w:pPr>
      <w:r>
        <w:rPr>
          <w:color w:val="auto"/>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1D5265" w:rsidRDefault="001D5265" w:rsidP="001D5265">
      <w:pPr>
        <w:pStyle w:val="Default"/>
        <w:ind w:firstLine="624"/>
        <w:jc w:val="both"/>
        <w:rPr>
          <w:color w:val="auto"/>
          <w:sz w:val="28"/>
          <w:szCs w:val="28"/>
        </w:rPr>
      </w:pPr>
      <w:r>
        <w:rPr>
          <w:color w:val="auto"/>
          <w:sz w:val="28"/>
          <w:szCs w:val="28"/>
        </w:rPr>
        <w:t xml:space="preserve">Категорически запрещается: </w:t>
      </w:r>
    </w:p>
    <w:p w:rsidR="001D5265" w:rsidRDefault="001D5265" w:rsidP="001D5265">
      <w:pPr>
        <w:pStyle w:val="ac"/>
        <w:numPr>
          <w:ilvl w:val="0"/>
          <w:numId w:val="11"/>
        </w:numPr>
        <w:ind w:left="0" w:firstLine="624"/>
        <w:contextualSpacing/>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1D5265" w:rsidRDefault="001D5265" w:rsidP="001D5265">
      <w:pPr>
        <w:pStyle w:val="ac"/>
        <w:numPr>
          <w:ilvl w:val="0"/>
          <w:numId w:val="11"/>
        </w:numPr>
        <w:ind w:left="0" w:firstLine="624"/>
        <w:contextualSpacing/>
        <w:jc w:val="both"/>
        <w:rPr>
          <w:sz w:val="28"/>
          <w:szCs w:val="28"/>
        </w:rPr>
      </w:pPr>
      <w:r>
        <w:rPr>
          <w:sz w:val="28"/>
          <w:szCs w:val="28"/>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1D5265" w:rsidRDefault="001D5265" w:rsidP="001D5265">
      <w:pPr>
        <w:pStyle w:val="Default"/>
        <w:spacing w:before="120" w:after="120"/>
        <w:ind w:firstLine="624"/>
        <w:rPr>
          <w:color w:val="auto"/>
          <w:sz w:val="28"/>
          <w:szCs w:val="32"/>
        </w:rPr>
      </w:pPr>
      <w:r>
        <w:rPr>
          <w:b/>
          <w:bCs/>
          <w:color w:val="auto"/>
          <w:sz w:val="28"/>
          <w:szCs w:val="32"/>
        </w:rPr>
        <w:t xml:space="preserve">Заполнение бланка ответов №1 </w:t>
      </w:r>
    </w:p>
    <w:p w:rsidR="001D5265" w:rsidRDefault="001D5265" w:rsidP="001D5265">
      <w:pPr>
        <w:pStyle w:val="Default"/>
        <w:ind w:firstLine="624"/>
        <w:jc w:val="both"/>
        <w:rPr>
          <w:color w:val="auto"/>
          <w:sz w:val="28"/>
          <w:szCs w:val="28"/>
        </w:rPr>
      </w:pPr>
      <w:r>
        <w:rPr>
          <w:color w:val="auto"/>
          <w:sz w:val="28"/>
          <w:szCs w:val="28"/>
        </w:rPr>
        <w:t xml:space="preserve">По указанию ответственного организатора в аудитории участники ОГЭ приступают к заполнению верхней (регистрационной) части бланка №1 заполняются следующие поля: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дата проведения экзамена (ДД-ММ-ГГ);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код региона;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код образовательной организации;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номер и буква класса (при наличии);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код пункта проведения экзамена;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номер аудитории;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подпись участника;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фамилия;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имя;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отчество (при наличии);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номер и серия документа, удостоверяющего личность (Приложение 2.Примерный перечень часто используемых при проведении ОГЭ документов, удостоверяющих личность»); </w:t>
      </w:r>
    </w:p>
    <w:p w:rsidR="001D5265" w:rsidRDefault="001D5265" w:rsidP="001D5265">
      <w:pPr>
        <w:pStyle w:val="ac"/>
        <w:numPr>
          <w:ilvl w:val="0"/>
          <w:numId w:val="11"/>
        </w:numPr>
        <w:tabs>
          <w:tab w:val="left" w:pos="993"/>
        </w:tabs>
        <w:ind w:left="0" w:firstLine="624"/>
        <w:contextualSpacing/>
        <w:jc w:val="both"/>
        <w:rPr>
          <w:rFonts w:eastAsia="Calibri"/>
          <w:b/>
          <w:bCs/>
          <w:sz w:val="28"/>
          <w:szCs w:val="28"/>
          <w:lang w:eastAsia="en-US"/>
        </w:rPr>
      </w:pPr>
      <w:r>
        <w:rPr>
          <w:sz w:val="26"/>
          <w:szCs w:val="26"/>
        </w:rPr>
        <w:t xml:space="preserve">пол участника (отмечается меткой в соответствующем поле). </w:t>
      </w:r>
      <w:r>
        <w:rPr>
          <w:b/>
          <w:bCs/>
          <w:sz w:val="28"/>
          <w:szCs w:val="28"/>
        </w:rPr>
        <w:br w:type="page"/>
      </w:r>
    </w:p>
    <w:p w:rsidR="001D5265" w:rsidRDefault="001D5265" w:rsidP="001D5265">
      <w:pPr>
        <w:pStyle w:val="Default"/>
        <w:ind w:firstLine="624"/>
        <w:jc w:val="both"/>
        <w:rPr>
          <w:color w:val="auto"/>
          <w:sz w:val="28"/>
          <w:szCs w:val="28"/>
        </w:rPr>
      </w:pPr>
      <w:r>
        <w:rPr>
          <w:b/>
          <w:bCs/>
          <w:color w:val="auto"/>
          <w:sz w:val="28"/>
          <w:szCs w:val="28"/>
        </w:rPr>
        <w:lastRenderedPageBreak/>
        <w:t xml:space="preserve">Ответы на задания с кратким ответом </w:t>
      </w:r>
    </w:p>
    <w:p w:rsidR="001D5265" w:rsidRDefault="001D5265" w:rsidP="001D5265">
      <w:pPr>
        <w:tabs>
          <w:tab w:val="left" w:pos="1005"/>
        </w:tabs>
        <w:ind w:firstLine="624"/>
        <w:jc w:val="both"/>
        <w:rPr>
          <w:sz w:val="28"/>
          <w:szCs w:val="28"/>
        </w:rPr>
      </w:pPr>
      <w:r>
        <w:rPr>
          <w:sz w:val="28"/>
          <w:szCs w:val="28"/>
        </w:rPr>
        <w:t xml:space="preserve">В средней части бланка ответов № 1 расположены поля для записи ответов на задания с кратким ответом. Краткий ответ записывается слева направо от номера задания, начиная с первой ячейки. Каждый символ записывается в отдельную ячейку. </w:t>
      </w:r>
    </w:p>
    <w:p w:rsidR="001D5265" w:rsidRDefault="001D5265" w:rsidP="001D5265">
      <w:pPr>
        <w:tabs>
          <w:tab w:val="left" w:pos="1005"/>
        </w:tabs>
        <w:ind w:firstLine="624"/>
        <w:jc w:val="both"/>
        <w:rPr>
          <w:sz w:val="28"/>
          <w:szCs w:val="28"/>
        </w:rPr>
      </w:pPr>
      <w:r>
        <w:rPr>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w:t>
      </w:r>
      <w:proofErr w:type="gramStart"/>
      <w:r>
        <w:rPr>
          <w:sz w:val="28"/>
          <w:szCs w:val="28"/>
        </w:rPr>
        <w:t>в</w:t>
      </w:r>
      <w:proofErr w:type="gramEnd"/>
      <w:r>
        <w:rPr>
          <w:sz w:val="28"/>
          <w:szCs w:val="28"/>
        </w:rPr>
        <w:t xml:space="preserve"> КИМ перед соответствующим заданием или группой заданий. </w:t>
      </w:r>
    </w:p>
    <w:p w:rsidR="001D5265" w:rsidRDefault="001D5265" w:rsidP="001D5265">
      <w:pPr>
        <w:tabs>
          <w:tab w:val="left" w:pos="1005"/>
        </w:tabs>
        <w:ind w:firstLine="624"/>
        <w:jc w:val="both"/>
        <w:rPr>
          <w:sz w:val="28"/>
          <w:szCs w:val="28"/>
        </w:rPr>
      </w:pPr>
      <w:r>
        <w:rPr>
          <w:sz w:val="28"/>
          <w:szCs w:val="28"/>
        </w:rPr>
        <w:t>Краткий ответ, в соответствии с инструкцией к заданию, может быть записан только в виде:</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слова или словосочетания;</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одного целого числа или комбинации букв и цифр;</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1D5265" w:rsidRDefault="001D5265" w:rsidP="001D5265">
      <w:pPr>
        <w:tabs>
          <w:tab w:val="left" w:pos="1005"/>
        </w:tabs>
        <w:ind w:firstLine="624"/>
      </w:pPr>
      <w:r>
        <w:rPr>
          <w:noProof/>
        </w:rPr>
        <w:drawing>
          <wp:inline distT="0" distB="0" distL="0" distR="0">
            <wp:extent cx="516890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00" cy="914400"/>
                    </a:xfrm>
                    <a:prstGeom prst="rect">
                      <a:avLst/>
                    </a:prstGeom>
                    <a:noFill/>
                    <a:ln>
                      <a:noFill/>
                    </a:ln>
                  </pic:spPr>
                </pic:pic>
              </a:graphicData>
            </a:graphic>
          </wp:inline>
        </w:drawing>
      </w:r>
    </w:p>
    <w:p w:rsidR="001D5265" w:rsidRDefault="001D5265" w:rsidP="001D5265">
      <w:pPr>
        <w:pStyle w:val="Default"/>
        <w:ind w:firstLine="624"/>
        <w:jc w:val="both"/>
        <w:rPr>
          <w:color w:val="auto"/>
          <w:sz w:val="28"/>
          <w:szCs w:val="28"/>
        </w:rPr>
      </w:pPr>
      <w:r>
        <w:rPr>
          <w:b/>
          <w:bCs/>
          <w:color w:val="auto"/>
          <w:sz w:val="28"/>
          <w:szCs w:val="28"/>
        </w:rPr>
        <w:t xml:space="preserve">Замена ошибочных ответов </w:t>
      </w:r>
    </w:p>
    <w:p w:rsidR="001D5265" w:rsidRDefault="001D5265" w:rsidP="001D5265">
      <w:pPr>
        <w:tabs>
          <w:tab w:val="left" w:pos="1005"/>
        </w:tabs>
        <w:ind w:firstLine="624"/>
        <w:jc w:val="both"/>
        <w:rPr>
          <w:sz w:val="28"/>
          <w:szCs w:val="28"/>
        </w:rPr>
      </w:pPr>
      <w:r>
        <w:rPr>
          <w:sz w:val="28"/>
          <w:szCs w:val="28"/>
        </w:rPr>
        <w:t>В специальных полях бланка № 1 внизу предусмотрены поля для записи исправленных ответов на задания с кратким ответом взамен ошибочно записанных.</w:t>
      </w:r>
    </w:p>
    <w:p w:rsidR="001D5265" w:rsidRDefault="001D5265" w:rsidP="001D5265">
      <w:pPr>
        <w:tabs>
          <w:tab w:val="left" w:pos="1005"/>
        </w:tabs>
        <w:ind w:firstLine="624"/>
        <w:jc w:val="both"/>
        <w:rPr>
          <w:sz w:val="28"/>
          <w:szCs w:val="28"/>
        </w:rPr>
      </w:pPr>
      <w:r>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1D5265" w:rsidRDefault="001D5265" w:rsidP="001D5265">
      <w:pPr>
        <w:tabs>
          <w:tab w:val="left" w:pos="1005"/>
        </w:tabs>
        <w:ind w:firstLine="624"/>
        <w:jc w:val="both"/>
        <w:rPr>
          <w:sz w:val="28"/>
          <w:szCs w:val="28"/>
        </w:rPr>
      </w:pPr>
      <w:r>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1D5265" w:rsidRDefault="001D5265" w:rsidP="001D5265">
      <w:pPr>
        <w:tabs>
          <w:tab w:val="left" w:pos="1005"/>
        </w:tabs>
        <w:ind w:firstLine="624"/>
        <w:jc w:val="both"/>
        <w:rPr>
          <w:sz w:val="28"/>
          <w:szCs w:val="28"/>
        </w:rPr>
      </w:pPr>
      <w:r>
        <w:rPr>
          <w:sz w:val="28"/>
          <w:szCs w:val="28"/>
        </w:rPr>
        <w:t>Ниже приведен пример замены.</w:t>
      </w:r>
    </w:p>
    <w:p w:rsidR="001D5265" w:rsidRDefault="001D5265" w:rsidP="001D5265">
      <w:pPr>
        <w:tabs>
          <w:tab w:val="left" w:pos="1005"/>
        </w:tabs>
        <w:ind w:firstLine="624"/>
      </w:pPr>
      <w:r>
        <w:rPr>
          <w:noProof/>
        </w:rPr>
        <w:drawing>
          <wp:inline distT="0" distB="0" distL="0" distR="0">
            <wp:extent cx="2425700" cy="101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5700" cy="1016000"/>
                    </a:xfrm>
                    <a:prstGeom prst="rect">
                      <a:avLst/>
                    </a:prstGeom>
                    <a:noFill/>
                    <a:ln>
                      <a:noFill/>
                    </a:ln>
                  </pic:spPr>
                </pic:pic>
              </a:graphicData>
            </a:graphic>
          </wp:inline>
        </w:drawing>
      </w:r>
    </w:p>
    <w:p w:rsidR="001D5265" w:rsidRDefault="001D5265" w:rsidP="001D5265">
      <w:pPr>
        <w:rPr>
          <w:rFonts w:eastAsia="Calibri"/>
          <w:b/>
          <w:bCs/>
          <w:sz w:val="28"/>
          <w:szCs w:val="32"/>
          <w:lang w:eastAsia="en-US"/>
        </w:rPr>
      </w:pPr>
      <w:r>
        <w:rPr>
          <w:b/>
          <w:bCs/>
          <w:sz w:val="28"/>
          <w:szCs w:val="32"/>
        </w:rPr>
        <w:br w:type="page"/>
      </w:r>
    </w:p>
    <w:p w:rsidR="001D5265" w:rsidRDefault="001D5265" w:rsidP="001D5265">
      <w:pPr>
        <w:pStyle w:val="Default"/>
        <w:spacing w:before="120" w:after="120"/>
        <w:ind w:firstLine="624"/>
        <w:jc w:val="center"/>
        <w:rPr>
          <w:color w:val="auto"/>
          <w:sz w:val="28"/>
          <w:szCs w:val="32"/>
        </w:rPr>
      </w:pPr>
      <w:r>
        <w:rPr>
          <w:b/>
          <w:bCs/>
          <w:color w:val="auto"/>
          <w:sz w:val="28"/>
          <w:szCs w:val="32"/>
        </w:rPr>
        <w:lastRenderedPageBreak/>
        <w:t>Заполнение бланка ответов №2</w:t>
      </w:r>
    </w:p>
    <w:p w:rsidR="001D5265" w:rsidRDefault="001D5265" w:rsidP="001D5265">
      <w:pPr>
        <w:ind w:firstLine="624"/>
        <w:jc w:val="both"/>
        <w:rPr>
          <w:sz w:val="28"/>
          <w:szCs w:val="28"/>
        </w:rPr>
      </w:pPr>
      <w:r>
        <w:rPr>
          <w:sz w:val="28"/>
          <w:szCs w:val="28"/>
        </w:rPr>
        <w:t xml:space="preserve">Бланк ответов № 2 предназначен для записи ответов на задания с развернутым ответом. </w:t>
      </w:r>
    </w:p>
    <w:p w:rsidR="001D5265" w:rsidRDefault="001D5265" w:rsidP="001D5265">
      <w:pPr>
        <w:ind w:firstLine="624"/>
        <w:jc w:val="both"/>
        <w:rPr>
          <w:sz w:val="28"/>
          <w:szCs w:val="28"/>
        </w:rPr>
      </w:pPr>
      <w:r>
        <w:rPr>
          <w:sz w:val="28"/>
          <w:szCs w:val="28"/>
        </w:rPr>
        <w:t xml:space="preserve">Информация для заполнения полей верхней части бланкаответов № 2 («Код региона», «Код предмета» и «Название предмета») должна соответствовать информации, внесенной в бланк ответов № 1. </w:t>
      </w:r>
    </w:p>
    <w:p w:rsidR="001D5265" w:rsidRDefault="001D5265" w:rsidP="001D5265">
      <w:pPr>
        <w:ind w:firstLine="624"/>
        <w:jc w:val="both"/>
        <w:rPr>
          <w:sz w:val="28"/>
          <w:szCs w:val="28"/>
        </w:rPr>
      </w:pPr>
      <w:r>
        <w:rPr>
          <w:sz w:val="28"/>
          <w:szCs w:val="28"/>
        </w:rPr>
        <w:t xml:space="preserve">Основную часть бланка занимает область записи ответов на задания с развернутым ответом. </w:t>
      </w:r>
      <w:proofErr w:type="gramStart"/>
      <w:r>
        <w:rPr>
          <w:sz w:val="28"/>
          <w:szCs w:val="28"/>
        </w:rPr>
        <w:t xml:space="preserve">В этой области внутри границ участник вносит ответы на соответствующие задания строго в соответствии с требованиями инструкции к КИМ и к отдельным заданиям КИМ. </w:t>
      </w:r>
      <w:proofErr w:type="gramEnd"/>
    </w:p>
    <w:p w:rsidR="001D5265" w:rsidRDefault="001D5265" w:rsidP="001D5265">
      <w:pPr>
        <w:ind w:firstLine="624"/>
        <w:jc w:val="both"/>
        <w:rPr>
          <w:sz w:val="28"/>
          <w:szCs w:val="28"/>
        </w:rPr>
      </w:pPr>
      <w:r>
        <w:rPr>
          <w:sz w:val="28"/>
          <w:szCs w:val="28"/>
        </w:rPr>
        <w:t>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6"/>
        <w:gridCol w:w="4816"/>
      </w:tblGrid>
      <w:tr w:rsidR="001D5265" w:rsidTr="001D5265">
        <w:trPr>
          <w:trHeight w:val="6002"/>
        </w:trPr>
        <w:tc>
          <w:tcPr>
            <w:tcW w:w="4720" w:type="dxa"/>
            <w:hideMark/>
          </w:tcPr>
          <w:p w:rsidR="001D5265" w:rsidRDefault="001D5265">
            <w:pPr>
              <w:jc w:val="both"/>
              <w:rPr>
                <w:color w:val="1F497D" w:themeColor="text2"/>
                <w:sz w:val="28"/>
                <w:szCs w:val="28"/>
              </w:rPr>
            </w:pPr>
            <w:r>
              <w:rPr>
                <w:noProof/>
                <w:color w:val="1F497D" w:themeColor="text2"/>
              </w:rPr>
              <w:drawing>
                <wp:inline distT="0" distB="0" distL="0" distR="0">
                  <wp:extent cx="2921000" cy="414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0" cy="4140200"/>
                          </a:xfrm>
                          <a:prstGeom prst="rect">
                            <a:avLst/>
                          </a:prstGeom>
                          <a:noFill/>
                          <a:ln>
                            <a:noFill/>
                          </a:ln>
                        </pic:spPr>
                      </pic:pic>
                    </a:graphicData>
                  </a:graphic>
                </wp:inline>
              </w:drawing>
            </w:r>
          </w:p>
        </w:tc>
        <w:tc>
          <w:tcPr>
            <w:tcW w:w="4720" w:type="dxa"/>
            <w:hideMark/>
          </w:tcPr>
          <w:p w:rsidR="001D5265" w:rsidRDefault="001D5265">
            <w:pPr>
              <w:jc w:val="both"/>
              <w:rPr>
                <w:color w:val="1F497D" w:themeColor="text2"/>
                <w:sz w:val="28"/>
                <w:szCs w:val="28"/>
              </w:rPr>
            </w:pPr>
            <w:r>
              <w:rPr>
                <w:noProof/>
                <w:color w:val="1F497D" w:themeColor="text2"/>
              </w:rPr>
              <w:drawing>
                <wp:inline distT="0" distB="0" distL="0" distR="0">
                  <wp:extent cx="2921000" cy="414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0" cy="4140200"/>
                          </a:xfrm>
                          <a:prstGeom prst="rect">
                            <a:avLst/>
                          </a:prstGeom>
                          <a:noFill/>
                          <a:ln>
                            <a:noFill/>
                          </a:ln>
                        </pic:spPr>
                      </pic:pic>
                    </a:graphicData>
                  </a:graphic>
                </wp:inline>
              </w:drawing>
            </w:r>
          </w:p>
        </w:tc>
      </w:tr>
    </w:tbl>
    <w:p w:rsidR="001D5265" w:rsidRDefault="001D5265" w:rsidP="001D5265">
      <w:pPr>
        <w:pStyle w:val="Default"/>
        <w:spacing w:before="60" w:after="120"/>
        <w:ind w:firstLine="624"/>
        <w:jc w:val="both"/>
        <w:rPr>
          <w:color w:val="auto"/>
          <w:sz w:val="28"/>
          <w:szCs w:val="32"/>
        </w:rPr>
      </w:pPr>
      <w:r>
        <w:rPr>
          <w:b/>
          <w:bCs/>
          <w:color w:val="auto"/>
          <w:sz w:val="28"/>
          <w:szCs w:val="32"/>
        </w:rPr>
        <w:t xml:space="preserve">Заполнение дополнительного бланка ответов №2 </w:t>
      </w:r>
    </w:p>
    <w:p w:rsidR="00141B8D" w:rsidRDefault="001D5265" w:rsidP="001D5265">
      <w:pPr>
        <w:widowControl w:val="0"/>
        <w:ind w:firstLine="624"/>
        <w:jc w:val="both"/>
      </w:pPr>
      <w:r>
        <w:rPr>
          <w:sz w:val="28"/>
          <w:szCs w:val="28"/>
        </w:rPr>
        <w:t>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ОГЭ в случае, когда в области ответов основного бланка ответов № 2 не осталось места. При этом организаторы фиксируют связь номеров основного и дополнительного бланков ответов (листа) в специальных полях бланков (листов).</w:t>
      </w:r>
    </w:p>
    <w:sectPr w:rsidR="00141B8D" w:rsidSect="001D526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317A97"/>
    <w:multiLevelType w:val="hybridMultilevel"/>
    <w:tmpl w:val="AC96766A"/>
    <w:lvl w:ilvl="0" w:tplc="27960C4E">
      <w:start w:val="1"/>
      <w:numFmt w:val="bullet"/>
      <w:lvlText w:val=""/>
      <w:lvlJc w:val="left"/>
      <w:pPr>
        <w:ind w:left="177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3D81C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F34BD"/>
    <w:rsid w:val="00141B8D"/>
    <w:rsid w:val="001D5265"/>
    <w:rsid w:val="00716EEA"/>
    <w:rsid w:val="008F34BD"/>
    <w:rsid w:val="00C46468"/>
    <w:rsid w:val="00C83A24"/>
    <w:rsid w:val="00E5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D5265"/>
    <w:rPr>
      <w:rFonts w:ascii="Times New Roman" w:eastAsia="Times New Roman" w:hAnsi="Times New Roman"/>
      <w:sz w:val="24"/>
      <w:szCs w:val="24"/>
    </w:rPr>
  </w:style>
  <w:style w:type="paragraph" w:styleId="1">
    <w:name w:val="heading 1"/>
    <w:basedOn w:val="a"/>
    <w:next w:val="a"/>
    <w:link w:val="10"/>
    <w:uiPriority w:val="99"/>
    <w:qFormat/>
    <w:rsid w:val="00E57A40"/>
    <w:pPr>
      <w:keepNext/>
      <w:spacing w:after="120"/>
      <w:jc w:val="center"/>
      <w:outlineLvl w:val="0"/>
    </w:pPr>
    <w:rPr>
      <w:b/>
      <w:bCs/>
      <w:kern w:val="32"/>
      <w:sz w:val="28"/>
      <w:szCs w:val="32"/>
      <w:lang/>
    </w:rPr>
  </w:style>
  <w:style w:type="paragraph" w:styleId="2">
    <w:name w:val="heading 2"/>
    <w:basedOn w:val="a"/>
    <w:next w:val="a"/>
    <w:link w:val="20"/>
    <w:qFormat/>
    <w:rsid w:val="00E57A40"/>
    <w:pPr>
      <w:keepNext/>
      <w:spacing w:after="120"/>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jc w:val="center"/>
      <w:outlineLvl w:val="2"/>
    </w:pPr>
    <w:rPr>
      <w:b/>
      <w:bCs/>
      <w:color w:val="FF0000"/>
      <w:sz w:val="28"/>
      <w:lang/>
    </w:rPr>
  </w:style>
  <w:style w:type="paragraph" w:styleId="4">
    <w:name w:val="heading 4"/>
    <w:basedOn w:val="a"/>
    <w:next w:val="a"/>
    <w:link w:val="40"/>
    <w:qFormat/>
    <w:rsid w:val="00E57A40"/>
    <w:pPr>
      <w:keepNext/>
      <w:jc w:val="center"/>
      <w:outlineLvl w:val="3"/>
    </w:pPr>
    <w:rPr>
      <w:b/>
      <w:bCs/>
      <w:sz w:val="28"/>
    </w:rPr>
  </w:style>
  <w:style w:type="paragraph" w:styleId="5">
    <w:name w:val="heading 5"/>
    <w:aliases w:val="Знак"/>
    <w:basedOn w:val="a"/>
    <w:next w:val="a"/>
    <w:link w:val="50"/>
    <w:qFormat/>
    <w:rsid w:val="00E57A40"/>
    <w:pPr>
      <w:keepNext/>
      <w:outlineLvl w:val="4"/>
    </w:pPr>
    <w:rPr>
      <w:b/>
      <w:color w:val="000000"/>
    </w:rPr>
  </w:style>
  <w:style w:type="paragraph" w:styleId="6">
    <w:name w:val="heading 6"/>
    <w:basedOn w:val="a"/>
    <w:next w:val="a"/>
    <w:link w:val="60"/>
    <w:qFormat/>
    <w:rsid w:val="00E57A40"/>
    <w:pPr>
      <w:keepNext/>
      <w:outlineLvl w:val="5"/>
    </w:pPr>
    <w:rPr>
      <w:b/>
      <w:bCs/>
    </w:rPr>
  </w:style>
  <w:style w:type="paragraph" w:styleId="7">
    <w:name w:val="heading 7"/>
    <w:basedOn w:val="a"/>
    <w:next w:val="a"/>
    <w:link w:val="70"/>
    <w:qFormat/>
    <w:rsid w:val="00E57A40"/>
    <w:pPr>
      <w:keepNext/>
      <w:jc w:val="center"/>
      <w:outlineLvl w:val="6"/>
    </w:pPr>
    <w:rPr>
      <w:b/>
      <w:bCs/>
    </w:rPr>
  </w:style>
  <w:style w:type="paragraph" w:styleId="8">
    <w:name w:val="heading 8"/>
    <w:basedOn w:val="a"/>
    <w:next w:val="a"/>
    <w:link w:val="80"/>
    <w:qFormat/>
    <w:rsid w:val="00E57A40"/>
    <w:pPr>
      <w:spacing w:before="240" w:after="60"/>
      <w:outlineLvl w:val="7"/>
    </w:pPr>
    <w:rPr>
      <w:i/>
      <w:iCs/>
    </w:rPr>
  </w:style>
  <w:style w:type="paragraph" w:styleId="9">
    <w:name w:val="heading 9"/>
    <w:basedOn w:val="a"/>
    <w:next w:val="a"/>
    <w:link w:val="90"/>
    <w:qFormat/>
    <w:rsid w:val="00E57A40"/>
    <w:pPr>
      <w:keepNext/>
      <w:jc w:val="center"/>
      <w:outlineLvl w:val="8"/>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rPr>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jc w:val="center"/>
    </w:pPr>
    <w:rPr>
      <w:rFonts w:cs="Arial"/>
      <w:b/>
      <w:sz w:val="28"/>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jc w:val="center"/>
      <w:outlineLvl w:val="1"/>
    </w:pPr>
    <w:rPr>
      <w:rFonts w:ascii="Cambria" w:hAnsi="Cambria"/>
      <w:b/>
      <w:color w:val="0000FF"/>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cstheme="majorBidi"/>
      <w:color w:val="365F91"/>
      <w:kern w:val="0"/>
      <w:szCs w:val="28"/>
      <w:lang w:eastAsia="en-US"/>
    </w:rPr>
  </w:style>
  <w:style w:type="paragraph" w:customStyle="1" w:styleId="ae">
    <w:name w:val="Заголовок наш"/>
    <w:basedOn w:val="a"/>
    <w:next w:val="a"/>
    <w:qFormat/>
    <w:rsid w:val="00E57A40"/>
    <w:pPr>
      <w:spacing w:after="240"/>
      <w:jc w:val="center"/>
    </w:pPr>
    <w:rPr>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Default">
    <w:name w:val="Default"/>
    <w:rsid w:val="001D5265"/>
    <w:pPr>
      <w:autoSpaceDE w:val="0"/>
      <w:autoSpaceDN w:val="0"/>
      <w:adjustRightInd w:val="0"/>
    </w:pPr>
    <w:rPr>
      <w:rFonts w:ascii="Times New Roman" w:hAnsi="Times New Roman"/>
      <w:color w:val="000000"/>
      <w:sz w:val="24"/>
      <w:szCs w:val="24"/>
      <w:lang w:eastAsia="en-US"/>
    </w:rPr>
  </w:style>
  <w:style w:type="table" w:styleId="af">
    <w:name w:val="Table Grid"/>
    <w:basedOn w:val="a1"/>
    <w:uiPriority w:val="59"/>
    <w:rsid w:val="001D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D5265"/>
    <w:rPr>
      <w:rFonts w:ascii="Tahoma" w:hAnsi="Tahoma" w:cs="Tahoma"/>
      <w:sz w:val="16"/>
      <w:szCs w:val="16"/>
    </w:rPr>
  </w:style>
  <w:style w:type="character" w:customStyle="1" w:styleId="af1">
    <w:name w:val="Текст выноски Знак"/>
    <w:basedOn w:val="a0"/>
    <w:link w:val="af0"/>
    <w:uiPriority w:val="99"/>
    <w:semiHidden/>
    <w:rsid w:val="001D52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D5265"/>
    <w:rPr>
      <w:rFonts w:ascii="Times New Roman" w:eastAsia="Times New Roman" w:hAnsi="Times New Roman"/>
      <w:sz w:val="24"/>
      <w:szCs w:val="24"/>
    </w:rPr>
  </w:style>
  <w:style w:type="paragraph" w:styleId="1">
    <w:name w:val="heading 1"/>
    <w:basedOn w:val="a"/>
    <w:next w:val="a"/>
    <w:link w:val="10"/>
    <w:uiPriority w:val="99"/>
    <w:qFormat/>
    <w:rsid w:val="00E57A40"/>
    <w:pPr>
      <w:keepNext/>
      <w:spacing w:after="120"/>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jc w:val="center"/>
      <w:outlineLvl w:val="2"/>
    </w:pPr>
    <w:rPr>
      <w:b/>
      <w:bCs/>
      <w:color w:val="FF0000"/>
      <w:sz w:val="28"/>
      <w:lang w:val="x-none" w:eastAsia="x-none"/>
    </w:rPr>
  </w:style>
  <w:style w:type="paragraph" w:styleId="4">
    <w:name w:val="heading 4"/>
    <w:basedOn w:val="a"/>
    <w:next w:val="a"/>
    <w:link w:val="40"/>
    <w:qFormat/>
    <w:rsid w:val="00E57A40"/>
    <w:pPr>
      <w:keepNext/>
      <w:jc w:val="center"/>
      <w:outlineLvl w:val="3"/>
    </w:pPr>
    <w:rPr>
      <w:b/>
      <w:bCs/>
      <w:sz w:val="28"/>
    </w:rPr>
  </w:style>
  <w:style w:type="paragraph" w:styleId="5">
    <w:name w:val="heading 5"/>
    <w:aliases w:val="Знак"/>
    <w:basedOn w:val="a"/>
    <w:next w:val="a"/>
    <w:link w:val="50"/>
    <w:qFormat/>
    <w:rsid w:val="00E57A40"/>
    <w:pPr>
      <w:keepNext/>
      <w:outlineLvl w:val="4"/>
    </w:pPr>
    <w:rPr>
      <w:b/>
      <w:color w:val="000000"/>
    </w:rPr>
  </w:style>
  <w:style w:type="paragraph" w:styleId="6">
    <w:name w:val="heading 6"/>
    <w:basedOn w:val="a"/>
    <w:next w:val="a"/>
    <w:link w:val="60"/>
    <w:qFormat/>
    <w:rsid w:val="00E57A40"/>
    <w:pPr>
      <w:keepNext/>
      <w:outlineLvl w:val="5"/>
    </w:pPr>
    <w:rPr>
      <w:b/>
      <w:bCs/>
    </w:rPr>
  </w:style>
  <w:style w:type="paragraph" w:styleId="7">
    <w:name w:val="heading 7"/>
    <w:basedOn w:val="a"/>
    <w:next w:val="a"/>
    <w:link w:val="70"/>
    <w:qFormat/>
    <w:rsid w:val="00E57A40"/>
    <w:pPr>
      <w:keepNext/>
      <w:jc w:val="center"/>
      <w:outlineLvl w:val="6"/>
    </w:pPr>
    <w:rPr>
      <w:b/>
      <w:bCs/>
    </w:rPr>
  </w:style>
  <w:style w:type="paragraph" w:styleId="8">
    <w:name w:val="heading 8"/>
    <w:basedOn w:val="a"/>
    <w:next w:val="a"/>
    <w:link w:val="80"/>
    <w:qFormat/>
    <w:rsid w:val="00E57A40"/>
    <w:pPr>
      <w:spacing w:before="240" w:after="60"/>
      <w:outlineLvl w:val="7"/>
    </w:pPr>
    <w:rPr>
      <w:i/>
      <w:iCs/>
    </w:rPr>
  </w:style>
  <w:style w:type="paragraph" w:styleId="9">
    <w:name w:val="heading 9"/>
    <w:basedOn w:val="a"/>
    <w:next w:val="a"/>
    <w:link w:val="90"/>
    <w:qFormat/>
    <w:rsid w:val="00E57A40"/>
    <w:pPr>
      <w:keepNext/>
      <w:jc w:val="cente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rPr>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jc w:val="center"/>
    </w:pPr>
    <w:rPr>
      <w:rFonts w:cs="Arial"/>
      <w:b/>
      <w:sz w:val="28"/>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jc w:val="center"/>
      <w:outlineLvl w:val="1"/>
    </w:pPr>
    <w:rPr>
      <w:rFonts w:ascii="Cambria" w:hAnsi="Cambria"/>
      <w:b/>
      <w:color w:val="0000FF"/>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cstheme="majorBidi"/>
      <w:color w:val="365F91"/>
      <w:kern w:val="0"/>
      <w:szCs w:val="28"/>
      <w:lang w:eastAsia="en-US"/>
    </w:rPr>
  </w:style>
  <w:style w:type="paragraph" w:customStyle="1" w:styleId="ae">
    <w:name w:val="Заголовок наш"/>
    <w:basedOn w:val="a"/>
    <w:next w:val="a"/>
    <w:qFormat/>
    <w:rsid w:val="00E57A40"/>
    <w:pPr>
      <w:spacing w:after="240"/>
      <w:jc w:val="center"/>
    </w:pPr>
    <w:rPr>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Default">
    <w:name w:val="Default"/>
    <w:rsid w:val="001D5265"/>
    <w:pPr>
      <w:autoSpaceDE w:val="0"/>
      <w:autoSpaceDN w:val="0"/>
      <w:adjustRightInd w:val="0"/>
    </w:pPr>
    <w:rPr>
      <w:rFonts w:ascii="Times New Roman" w:hAnsi="Times New Roman"/>
      <w:color w:val="000000"/>
      <w:sz w:val="24"/>
      <w:szCs w:val="24"/>
      <w:lang w:eastAsia="en-US"/>
    </w:rPr>
  </w:style>
  <w:style w:type="table" w:styleId="af">
    <w:name w:val="Table Grid"/>
    <w:basedOn w:val="a1"/>
    <w:uiPriority w:val="59"/>
    <w:rsid w:val="001D52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D5265"/>
    <w:rPr>
      <w:rFonts w:ascii="Tahoma" w:hAnsi="Tahoma" w:cs="Tahoma"/>
      <w:sz w:val="16"/>
      <w:szCs w:val="16"/>
    </w:rPr>
  </w:style>
  <w:style w:type="character" w:customStyle="1" w:styleId="af1">
    <w:name w:val="Текст выноски Знак"/>
    <w:basedOn w:val="a0"/>
    <w:link w:val="af0"/>
    <w:uiPriority w:val="99"/>
    <w:semiHidden/>
    <w:rsid w:val="001D52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0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Учитель</cp:lastModifiedBy>
  <cp:revision>2</cp:revision>
  <dcterms:created xsi:type="dcterms:W3CDTF">2019-03-12T04:45:00Z</dcterms:created>
  <dcterms:modified xsi:type="dcterms:W3CDTF">2019-03-12T04:45:00Z</dcterms:modified>
</cp:coreProperties>
</file>